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2F8CC" w14:textId="77777777" w:rsidR="00617FB1" w:rsidRPr="00DB48F3" w:rsidRDefault="00617FB1" w:rsidP="00617FB1">
      <w:pPr>
        <w:jc w:val="center"/>
        <w:rPr>
          <w:rFonts w:ascii="Times New Roman" w:hAnsi="Times New Roman" w:cs="Times New Roman"/>
          <w:b/>
          <w:bCs/>
        </w:rPr>
      </w:pPr>
    </w:p>
    <w:p w14:paraId="544C60F2" w14:textId="77777777" w:rsidR="00617FB1" w:rsidRPr="00DB48F3" w:rsidRDefault="00617FB1" w:rsidP="00617FB1">
      <w:pPr>
        <w:jc w:val="center"/>
        <w:rPr>
          <w:rFonts w:ascii="Times New Roman" w:hAnsi="Times New Roman" w:cs="Times New Roman"/>
          <w:b/>
          <w:bCs/>
        </w:rPr>
      </w:pPr>
    </w:p>
    <w:p w14:paraId="38E93769" w14:textId="3FFC7CCB" w:rsidR="00617FB1" w:rsidRPr="00DB48F3" w:rsidRDefault="00617FB1" w:rsidP="00617FB1">
      <w:pPr>
        <w:jc w:val="center"/>
        <w:rPr>
          <w:rFonts w:ascii="Times New Roman" w:hAnsi="Times New Roman" w:cs="Times New Roman"/>
        </w:rPr>
      </w:pPr>
      <w:r w:rsidRPr="00DB48F3">
        <w:rPr>
          <w:rFonts w:ascii="Times New Roman" w:hAnsi="Times New Roman" w:cs="Times New Roman"/>
          <w:b/>
          <w:bCs/>
        </w:rPr>
        <w:t>Unnatural Causes: Interactivities</w:t>
      </w:r>
    </w:p>
    <w:p w14:paraId="79A04867" w14:textId="150681E5" w:rsidR="00617FB1" w:rsidRPr="00DB48F3" w:rsidRDefault="00617FB1" w:rsidP="00617FB1">
      <w:pPr>
        <w:jc w:val="center"/>
        <w:rPr>
          <w:rFonts w:ascii="Times New Roman" w:hAnsi="Times New Roman" w:cs="Times New Roman"/>
        </w:rPr>
      </w:pPr>
    </w:p>
    <w:p w14:paraId="35B1E604" w14:textId="2D356752" w:rsidR="00617FB1" w:rsidRPr="00DB48F3" w:rsidRDefault="00617FB1" w:rsidP="00617FB1">
      <w:pPr>
        <w:jc w:val="center"/>
        <w:rPr>
          <w:rFonts w:ascii="Times New Roman" w:hAnsi="Times New Roman" w:cs="Times New Roman"/>
        </w:rPr>
      </w:pPr>
      <w:proofErr w:type="spellStart"/>
      <w:r w:rsidRPr="00DB48F3">
        <w:rPr>
          <w:rFonts w:ascii="Times New Roman" w:hAnsi="Times New Roman" w:cs="Times New Roman"/>
        </w:rPr>
        <w:t>Bría</w:t>
      </w:r>
      <w:proofErr w:type="spellEnd"/>
      <w:r w:rsidRPr="00DB48F3">
        <w:rPr>
          <w:rFonts w:ascii="Times New Roman" w:hAnsi="Times New Roman" w:cs="Times New Roman"/>
        </w:rPr>
        <w:t xml:space="preserve"> </w:t>
      </w:r>
      <w:proofErr w:type="spellStart"/>
      <w:r w:rsidRPr="00DB48F3">
        <w:rPr>
          <w:rFonts w:ascii="Times New Roman" w:hAnsi="Times New Roman" w:cs="Times New Roman"/>
        </w:rPr>
        <w:t>Mÿchel</w:t>
      </w:r>
      <w:proofErr w:type="spellEnd"/>
    </w:p>
    <w:p w14:paraId="74C98D6D" w14:textId="5C71F858" w:rsidR="00617FB1" w:rsidRPr="00DB48F3" w:rsidRDefault="00617FB1" w:rsidP="00617FB1">
      <w:pPr>
        <w:jc w:val="center"/>
        <w:rPr>
          <w:rFonts w:ascii="Times New Roman" w:hAnsi="Times New Roman" w:cs="Times New Roman"/>
        </w:rPr>
      </w:pPr>
      <w:r w:rsidRPr="00DB48F3">
        <w:rPr>
          <w:rFonts w:ascii="Times New Roman" w:hAnsi="Times New Roman" w:cs="Times New Roman"/>
        </w:rPr>
        <w:t>Department of Sociology: Midwives College of Utah</w:t>
      </w:r>
    </w:p>
    <w:p w14:paraId="4C5E6168" w14:textId="77777777" w:rsidR="00617FB1" w:rsidRPr="00DB48F3" w:rsidRDefault="00617FB1" w:rsidP="00617FB1">
      <w:pPr>
        <w:jc w:val="center"/>
        <w:rPr>
          <w:rFonts w:ascii="Times New Roman" w:hAnsi="Times New Roman" w:cs="Times New Roman"/>
        </w:rPr>
      </w:pPr>
      <w:r w:rsidRPr="00DB48F3">
        <w:rPr>
          <w:rFonts w:ascii="Times New Roman" w:hAnsi="Times New Roman" w:cs="Times New Roman"/>
        </w:rPr>
        <w:t>SOSC 1010: Equity &amp; Anti-Oppression in Midwifery Care</w:t>
      </w:r>
    </w:p>
    <w:p w14:paraId="32EAA7BF" w14:textId="77777777" w:rsidR="00617FB1" w:rsidRPr="00DB48F3" w:rsidRDefault="00617FB1" w:rsidP="00617FB1">
      <w:pPr>
        <w:jc w:val="center"/>
        <w:rPr>
          <w:rFonts w:ascii="Times New Roman" w:hAnsi="Times New Roman" w:cs="Times New Roman"/>
        </w:rPr>
      </w:pPr>
      <w:r w:rsidRPr="00DB48F3">
        <w:rPr>
          <w:rFonts w:ascii="Times New Roman" w:hAnsi="Times New Roman" w:cs="Times New Roman"/>
        </w:rPr>
        <w:t xml:space="preserve">Sharon </w:t>
      </w:r>
      <w:proofErr w:type="spellStart"/>
      <w:r w:rsidRPr="00DB48F3">
        <w:rPr>
          <w:rFonts w:ascii="Times New Roman" w:hAnsi="Times New Roman" w:cs="Times New Roman"/>
        </w:rPr>
        <w:t>Bernecki</w:t>
      </w:r>
      <w:proofErr w:type="spellEnd"/>
      <w:r w:rsidRPr="00DB48F3">
        <w:rPr>
          <w:rFonts w:ascii="Times New Roman" w:hAnsi="Times New Roman" w:cs="Times New Roman"/>
        </w:rPr>
        <w:t xml:space="preserve"> </w:t>
      </w:r>
      <w:proofErr w:type="spellStart"/>
      <w:r w:rsidRPr="00DB48F3">
        <w:rPr>
          <w:rFonts w:ascii="Times New Roman" w:hAnsi="Times New Roman" w:cs="Times New Roman"/>
        </w:rPr>
        <w:t>DeJoy</w:t>
      </w:r>
      <w:proofErr w:type="spellEnd"/>
      <w:r w:rsidRPr="00DB48F3">
        <w:rPr>
          <w:rFonts w:ascii="Times New Roman" w:hAnsi="Times New Roman" w:cs="Times New Roman"/>
        </w:rPr>
        <w:t xml:space="preserve"> and Tamara </w:t>
      </w:r>
      <w:proofErr w:type="spellStart"/>
      <w:r w:rsidRPr="00DB48F3">
        <w:rPr>
          <w:rFonts w:ascii="Times New Roman" w:hAnsi="Times New Roman" w:cs="Times New Roman"/>
        </w:rPr>
        <w:t>Taitt</w:t>
      </w:r>
      <w:proofErr w:type="spellEnd"/>
    </w:p>
    <w:p w14:paraId="1B5122DC" w14:textId="112FFEA8" w:rsidR="00617FB1" w:rsidRPr="00DB48F3" w:rsidRDefault="00617FB1" w:rsidP="00617FB1">
      <w:pPr>
        <w:jc w:val="center"/>
        <w:rPr>
          <w:rFonts w:ascii="Times New Roman" w:hAnsi="Times New Roman" w:cs="Times New Roman"/>
        </w:rPr>
      </w:pPr>
      <w:r w:rsidRPr="00DB48F3">
        <w:rPr>
          <w:rFonts w:ascii="Times New Roman" w:hAnsi="Times New Roman" w:cs="Times New Roman"/>
        </w:rPr>
        <w:t xml:space="preserve">June 27, 2022 </w:t>
      </w:r>
    </w:p>
    <w:p w14:paraId="7949253B" w14:textId="06263D1A" w:rsidR="00617FB1" w:rsidRPr="00DB48F3" w:rsidRDefault="00617FB1">
      <w:pPr>
        <w:rPr>
          <w:rFonts w:ascii="Times New Roman" w:hAnsi="Times New Roman" w:cs="Times New Roman"/>
        </w:rPr>
      </w:pPr>
      <w:r w:rsidRPr="00DB48F3">
        <w:rPr>
          <w:rFonts w:ascii="Times New Roman" w:hAnsi="Times New Roman" w:cs="Times New Roman"/>
        </w:rPr>
        <w:br w:type="page"/>
      </w:r>
    </w:p>
    <w:p w14:paraId="7C5CF038" w14:textId="77777777" w:rsidR="00EF0374" w:rsidRPr="00DB48F3" w:rsidRDefault="007A6219" w:rsidP="00617FB1">
      <w:pPr>
        <w:rPr>
          <w:rFonts w:ascii="Times New Roman" w:hAnsi="Times New Roman" w:cs="Times New Roman"/>
        </w:rPr>
      </w:pPr>
      <w:r w:rsidRPr="00DB48F3">
        <w:rPr>
          <w:rFonts w:ascii="Times New Roman" w:hAnsi="Times New Roman" w:cs="Times New Roman"/>
        </w:rPr>
        <w:lastRenderedPageBreak/>
        <w:tab/>
      </w:r>
      <w:r w:rsidR="00F2301B" w:rsidRPr="00DB48F3">
        <w:rPr>
          <w:rFonts w:ascii="Times New Roman" w:hAnsi="Times New Roman" w:cs="Times New Roman"/>
        </w:rPr>
        <w:t xml:space="preserve">Racial disparities are prevalent in every aspect of American </w:t>
      </w:r>
      <w:r w:rsidR="00BF7356" w:rsidRPr="00DB48F3">
        <w:rPr>
          <w:rFonts w:ascii="Times New Roman" w:hAnsi="Times New Roman" w:cs="Times New Roman"/>
        </w:rPr>
        <w:t xml:space="preserve">culture creating systemic racisms that impact the most important aspects of society including healthcare, education and judicial proceedings. </w:t>
      </w:r>
      <w:r w:rsidR="00E10224" w:rsidRPr="00DB48F3">
        <w:rPr>
          <w:rFonts w:ascii="Times New Roman" w:hAnsi="Times New Roman" w:cs="Times New Roman"/>
        </w:rPr>
        <w:t xml:space="preserve">For this assignment I chose to explore the interactive regarding </w:t>
      </w:r>
      <w:r w:rsidR="000D3509" w:rsidRPr="00DB48F3">
        <w:rPr>
          <w:rFonts w:ascii="Times New Roman" w:hAnsi="Times New Roman" w:cs="Times New Roman"/>
        </w:rPr>
        <w:t xml:space="preserve">advantage accumulation as I am interested in learning more about generational wealth and the impact that has on subsequent generations. </w:t>
      </w:r>
      <w:r w:rsidR="0002382B" w:rsidRPr="00DB48F3">
        <w:rPr>
          <w:rFonts w:ascii="Times New Roman" w:hAnsi="Times New Roman" w:cs="Times New Roman"/>
        </w:rPr>
        <w:t xml:space="preserve">Oftentimes when we think of generational wealth the first thing that we consider are trust funds or liquid assets, when generational wealth expands far beyond </w:t>
      </w:r>
      <w:r w:rsidR="009C0B6B" w:rsidRPr="00DB48F3">
        <w:rPr>
          <w:rFonts w:ascii="Times New Roman" w:hAnsi="Times New Roman" w:cs="Times New Roman"/>
        </w:rPr>
        <w:t>direct</w:t>
      </w:r>
      <w:r w:rsidR="0002382B" w:rsidRPr="00DB48F3">
        <w:rPr>
          <w:rFonts w:ascii="Times New Roman" w:hAnsi="Times New Roman" w:cs="Times New Roman"/>
        </w:rPr>
        <w:t xml:space="preserve"> </w:t>
      </w:r>
      <w:r w:rsidR="009C0B6B" w:rsidRPr="00DB48F3">
        <w:rPr>
          <w:rFonts w:ascii="Times New Roman" w:hAnsi="Times New Roman" w:cs="Times New Roman"/>
        </w:rPr>
        <w:t>assets</w:t>
      </w:r>
      <w:r w:rsidR="0002382B" w:rsidRPr="00DB48F3">
        <w:rPr>
          <w:rFonts w:ascii="Times New Roman" w:hAnsi="Times New Roman" w:cs="Times New Roman"/>
        </w:rPr>
        <w:t>.</w:t>
      </w:r>
    </w:p>
    <w:p w14:paraId="0402BAE2" w14:textId="6244F6A1" w:rsidR="009C3C5A" w:rsidRPr="00DB48F3" w:rsidRDefault="00EF0374" w:rsidP="00617FB1">
      <w:pPr>
        <w:rPr>
          <w:rFonts w:ascii="Times New Roman" w:hAnsi="Times New Roman" w:cs="Times New Roman"/>
        </w:rPr>
      </w:pPr>
      <w:r w:rsidRPr="00DB48F3">
        <w:rPr>
          <w:rFonts w:ascii="Times New Roman" w:hAnsi="Times New Roman" w:cs="Times New Roman"/>
        </w:rPr>
        <w:tab/>
        <w:t xml:space="preserve">The interactive assignment included many examples of asset accumulation models that offer access to advantages for privileged people. Each of these examples also have correlations to direct health disparities for those without the same privileges. Sue (2010) provides an example of a common racial microaggression that immigrants face when they are singled out for speaking with an accent. The interactivity also addresses immigrants and points out that while many immigrants arrive to the USA with good health, “within </w:t>
      </w:r>
      <w:r w:rsidR="006538A0" w:rsidRPr="00DB48F3">
        <w:rPr>
          <w:rFonts w:ascii="Times New Roman" w:hAnsi="Times New Roman" w:cs="Times New Roman"/>
        </w:rPr>
        <w:t xml:space="preserve">a generation, the health advantage has largely disappeared” leaving their children and descendants with health concerns as a result of racial disparities in this country. </w:t>
      </w:r>
    </w:p>
    <w:p w14:paraId="4C6E7D39" w14:textId="4B6C2DB8" w:rsidR="00DB48F3" w:rsidRDefault="0095312D" w:rsidP="00DB48F3">
      <w:pPr>
        <w:rPr>
          <w:rFonts w:ascii="Times New Roman" w:eastAsia="Times New Roman" w:hAnsi="Times New Roman" w:cs="Times New Roman"/>
        </w:rPr>
      </w:pPr>
      <w:r w:rsidRPr="00DB48F3">
        <w:rPr>
          <w:rFonts w:ascii="Times New Roman" w:hAnsi="Times New Roman" w:cs="Times New Roman"/>
        </w:rPr>
        <w:tab/>
      </w:r>
      <w:r w:rsidR="00DB48F3" w:rsidRPr="00DB48F3">
        <w:rPr>
          <w:rFonts w:ascii="Times New Roman" w:hAnsi="Times New Roman" w:cs="Times New Roman"/>
        </w:rPr>
        <w:t xml:space="preserve">When discussing </w:t>
      </w:r>
      <w:proofErr w:type="gramStart"/>
      <w:r w:rsidR="00DB48F3" w:rsidRPr="00DB48F3">
        <w:rPr>
          <w:rFonts w:ascii="Times New Roman" w:hAnsi="Times New Roman" w:cs="Times New Roman"/>
        </w:rPr>
        <w:t>health</w:t>
      </w:r>
      <w:proofErr w:type="gramEnd"/>
      <w:r w:rsidR="00DB48F3" w:rsidRPr="00DB48F3">
        <w:rPr>
          <w:rFonts w:ascii="Times New Roman" w:hAnsi="Times New Roman" w:cs="Times New Roman"/>
        </w:rPr>
        <w:t xml:space="preserve"> it is important to note that “health is essential to wellbeing and to overcoming other effects of social disadvantage” (</w:t>
      </w:r>
      <w:proofErr w:type="spellStart"/>
      <w:r w:rsidR="00DB48F3" w:rsidRPr="00DB48F3">
        <w:rPr>
          <w:rFonts w:ascii="Times New Roman" w:hAnsi="Times New Roman" w:cs="Times New Roman"/>
        </w:rPr>
        <w:t>Braveman</w:t>
      </w:r>
      <w:proofErr w:type="spellEnd"/>
      <w:r w:rsidR="00DB48F3" w:rsidRPr="00DB48F3">
        <w:rPr>
          <w:rFonts w:ascii="Times New Roman" w:hAnsi="Times New Roman" w:cs="Times New Roman"/>
        </w:rPr>
        <w:t xml:space="preserve"> &amp; </w:t>
      </w:r>
      <w:proofErr w:type="spellStart"/>
      <w:r w:rsidR="00DB48F3" w:rsidRPr="00DB48F3">
        <w:rPr>
          <w:rFonts w:ascii="Times New Roman" w:hAnsi="Times New Roman" w:cs="Times New Roman"/>
        </w:rPr>
        <w:t>Gruskin</w:t>
      </w:r>
      <w:proofErr w:type="spellEnd"/>
      <w:r w:rsidR="00DB48F3" w:rsidRPr="00DB48F3">
        <w:rPr>
          <w:rFonts w:ascii="Times New Roman" w:hAnsi="Times New Roman" w:cs="Times New Roman"/>
        </w:rPr>
        <w:t>, 2003). The World Health Organization defines health as “</w:t>
      </w:r>
      <w:r w:rsidR="00DB48F3" w:rsidRPr="00DB48F3">
        <w:rPr>
          <w:rFonts w:ascii="Times New Roman" w:eastAsia="Times New Roman" w:hAnsi="Times New Roman" w:cs="Times New Roman"/>
        </w:rPr>
        <w:t>a state of complete physical, mental and social well-being and not merely the absence of disease or infirmity</w:t>
      </w:r>
      <w:r w:rsidR="00DB48F3" w:rsidRPr="00DB48F3">
        <w:rPr>
          <w:rFonts w:ascii="Times New Roman" w:eastAsia="Times New Roman" w:hAnsi="Times New Roman" w:cs="Times New Roman"/>
        </w:rPr>
        <w:t>”</w:t>
      </w:r>
      <w:r w:rsidR="00DB48F3">
        <w:rPr>
          <w:rFonts w:ascii="Times New Roman" w:eastAsia="Times New Roman" w:hAnsi="Times New Roman" w:cs="Times New Roman"/>
        </w:rPr>
        <w:t xml:space="preserve">. When considering the health of a population, these perspectives are important to keep in mind because so many social factors create strain on the health of marginalized communities who face health disparities as a direct impact from racism. The interactivity points out one contributor to </w:t>
      </w:r>
      <w:r w:rsidR="000D51B2">
        <w:rPr>
          <w:rFonts w:ascii="Times New Roman" w:eastAsia="Times New Roman" w:hAnsi="Times New Roman" w:cs="Times New Roman"/>
        </w:rPr>
        <w:t xml:space="preserve">wealth comes from home ownership, but in knowing that home ownership can contribute to wealth and financial security, minorities face </w:t>
      </w:r>
      <w:r w:rsidR="000D51B2">
        <w:rPr>
          <w:rFonts w:ascii="Times New Roman" w:eastAsia="Times New Roman" w:hAnsi="Times New Roman" w:cs="Times New Roman"/>
        </w:rPr>
        <w:lastRenderedPageBreak/>
        <w:t xml:space="preserve">yet another hindrance as systemic racism makes home ownership difficult or impossible for many individuals. Aside from the extraordinary requirements of lenders for applicants to qualify for loans, there are practices in place such as </w:t>
      </w:r>
      <w:proofErr w:type="gramStart"/>
      <w:r w:rsidR="000D51B2">
        <w:rPr>
          <w:rFonts w:ascii="Times New Roman" w:eastAsia="Times New Roman" w:hAnsi="Times New Roman" w:cs="Times New Roman"/>
        </w:rPr>
        <w:t>red-lining</w:t>
      </w:r>
      <w:proofErr w:type="gramEnd"/>
      <w:r w:rsidR="000D51B2">
        <w:rPr>
          <w:rFonts w:ascii="Times New Roman" w:eastAsia="Times New Roman" w:hAnsi="Times New Roman" w:cs="Times New Roman"/>
        </w:rPr>
        <w:t xml:space="preserve"> which directly discriminates against Black prospective buyers and other marginalized groups. </w:t>
      </w:r>
    </w:p>
    <w:p w14:paraId="1022C84F" w14:textId="78678BB7" w:rsidR="007009FC" w:rsidRDefault="007009FC" w:rsidP="00DB48F3">
      <w:pPr>
        <w:rPr>
          <w:rFonts w:ascii="Times New Roman" w:eastAsia="Times New Roman" w:hAnsi="Times New Roman" w:cs="Times New Roman"/>
        </w:rPr>
      </w:pPr>
      <w:r>
        <w:rPr>
          <w:rFonts w:ascii="Times New Roman" w:eastAsia="Times New Roman" w:hAnsi="Times New Roman" w:cs="Times New Roman"/>
        </w:rPr>
        <w:tab/>
        <w:t xml:space="preserve">One of the prompts in the interactivity I chose asks “can you express your opinion without feeling like you are representing your race?” and this is one of those questions that make me think of the many times I have been asked as a tokenized group member to speak for my </w:t>
      </w:r>
      <w:proofErr w:type="gramStart"/>
      <w:r>
        <w:rPr>
          <w:rFonts w:ascii="Times New Roman" w:eastAsia="Times New Roman" w:hAnsi="Times New Roman" w:cs="Times New Roman"/>
        </w:rPr>
        <w:t>demographic as a whole</w:t>
      </w:r>
      <w:proofErr w:type="gramEnd"/>
      <w:r>
        <w:rPr>
          <w:rFonts w:ascii="Times New Roman" w:eastAsia="Times New Roman" w:hAnsi="Times New Roman" w:cs="Times New Roman"/>
        </w:rPr>
        <w:t xml:space="preserve">. As a student at a predominately white </w:t>
      </w:r>
      <w:proofErr w:type="gramStart"/>
      <w:r>
        <w:rPr>
          <w:rFonts w:ascii="Times New Roman" w:eastAsia="Times New Roman" w:hAnsi="Times New Roman" w:cs="Times New Roman"/>
        </w:rPr>
        <w:t>institute</w:t>
      </w:r>
      <w:proofErr w:type="gramEnd"/>
      <w:r>
        <w:rPr>
          <w:rFonts w:ascii="Times New Roman" w:eastAsia="Times New Roman" w:hAnsi="Times New Roman" w:cs="Times New Roman"/>
        </w:rPr>
        <w:t xml:space="preserve"> it is so easy to fall into this simplex when engaging with peers and being one of a few, if not the only, member of my race or sexual orientation in a group setting. I find it important to remind my audience that my opinions are based upon my own experiences and that I cannot and do not speak for any grouping </w:t>
      </w:r>
      <w:proofErr w:type="gramStart"/>
      <w:r>
        <w:rPr>
          <w:rFonts w:ascii="Times New Roman" w:eastAsia="Times New Roman" w:hAnsi="Times New Roman" w:cs="Times New Roman"/>
        </w:rPr>
        <w:t>as a whole as</w:t>
      </w:r>
      <w:proofErr w:type="gramEnd"/>
      <w:r>
        <w:rPr>
          <w:rFonts w:ascii="Times New Roman" w:eastAsia="Times New Roman" w:hAnsi="Times New Roman" w:cs="Times New Roman"/>
        </w:rPr>
        <w:t xml:space="preserve"> it is so easy to be perceived as an appointed representative of my race. </w:t>
      </w:r>
    </w:p>
    <w:p w14:paraId="3767E64B" w14:textId="70F7CE32" w:rsidR="00A0022C" w:rsidRPr="00DB48F3" w:rsidRDefault="00A0022C" w:rsidP="00DB48F3">
      <w:pPr>
        <w:rPr>
          <w:rFonts w:ascii="Times New Roman" w:eastAsia="Times New Roman" w:hAnsi="Times New Roman" w:cs="Times New Roman"/>
        </w:rPr>
      </w:pPr>
      <w:r>
        <w:rPr>
          <w:rFonts w:ascii="Times New Roman" w:eastAsia="Times New Roman" w:hAnsi="Times New Roman" w:cs="Times New Roman"/>
        </w:rPr>
        <w:tab/>
        <w:t xml:space="preserve">This activity was a good reminder that there are many paths of inequalities and discriminatory behaviors that minorities face in America. More importantly, that each of these contributing perceptions have a direct correlation to our health and welfare as a racial group and individuals. </w:t>
      </w:r>
      <w:r w:rsidR="001064F0">
        <w:rPr>
          <w:rFonts w:ascii="Times New Roman" w:eastAsia="Times New Roman" w:hAnsi="Times New Roman" w:cs="Times New Roman"/>
        </w:rPr>
        <w:t xml:space="preserve">It is too easy to overly simplify racism without also addressing systemic biases and misconceptions based upon a person’s appearance, accent, ability to qualify for home ownership, their parents’ level of education etc. </w:t>
      </w:r>
    </w:p>
    <w:p w14:paraId="5E58954E" w14:textId="45C6D09E" w:rsidR="0095312D" w:rsidRPr="00DB48F3" w:rsidRDefault="0095312D" w:rsidP="00617FB1">
      <w:pPr>
        <w:rPr>
          <w:rFonts w:ascii="Times New Roman" w:hAnsi="Times New Roman" w:cs="Times New Roman"/>
        </w:rPr>
      </w:pPr>
    </w:p>
    <w:p w14:paraId="6EE3DEC1" w14:textId="77777777" w:rsidR="009C3C5A" w:rsidRPr="00DB48F3" w:rsidRDefault="009C3C5A">
      <w:pPr>
        <w:rPr>
          <w:rFonts w:ascii="Times New Roman" w:hAnsi="Times New Roman" w:cs="Times New Roman"/>
        </w:rPr>
      </w:pPr>
      <w:r w:rsidRPr="00DB48F3">
        <w:rPr>
          <w:rFonts w:ascii="Times New Roman" w:hAnsi="Times New Roman" w:cs="Times New Roman"/>
        </w:rPr>
        <w:br w:type="page"/>
      </w:r>
    </w:p>
    <w:p w14:paraId="71F5E509" w14:textId="49F1CA3D" w:rsidR="00617FB1" w:rsidRPr="00DB48F3" w:rsidRDefault="009C3C5A" w:rsidP="009C3C5A">
      <w:pPr>
        <w:jc w:val="center"/>
        <w:rPr>
          <w:rFonts w:ascii="Times New Roman" w:hAnsi="Times New Roman" w:cs="Times New Roman"/>
        </w:rPr>
      </w:pPr>
      <w:r w:rsidRPr="00DB48F3">
        <w:rPr>
          <w:rFonts w:ascii="Times New Roman" w:hAnsi="Times New Roman" w:cs="Times New Roman"/>
          <w:b/>
          <w:bCs/>
        </w:rPr>
        <w:lastRenderedPageBreak/>
        <w:t>Resources</w:t>
      </w:r>
    </w:p>
    <w:p w14:paraId="051628E5" w14:textId="0671EA77" w:rsidR="00F51976" w:rsidRPr="00DB48F3" w:rsidRDefault="00F51976" w:rsidP="00F51976">
      <w:pPr>
        <w:ind w:left="720" w:hanging="720"/>
        <w:rPr>
          <w:rFonts w:ascii="Times New Roman" w:hAnsi="Times New Roman" w:cs="Times New Roman"/>
        </w:rPr>
      </w:pPr>
      <w:proofErr w:type="spellStart"/>
      <w:r w:rsidRPr="00DB48F3">
        <w:rPr>
          <w:rFonts w:ascii="Times New Roman" w:hAnsi="Times New Roman" w:cs="Times New Roman"/>
          <w:shd w:val="clear" w:color="auto" w:fill="FFFFFF"/>
        </w:rPr>
        <w:t>Braveman</w:t>
      </w:r>
      <w:proofErr w:type="spellEnd"/>
      <w:r w:rsidRPr="00DB48F3">
        <w:rPr>
          <w:rFonts w:ascii="Times New Roman" w:hAnsi="Times New Roman" w:cs="Times New Roman"/>
          <w:shd w:val="clear" w:color="auto" w:fill="FFFFFF"/>
        </w:rPr>
        <w:t xml:space="preserve">, P. &amp; </w:t>
      </w:r>
      <w:proofErr w:type="spellStart"/>
      <w:r w:rsidRPr="00DB48F3">
        <w:rPr>
          <w:rFonts w:ascii="Times New Roman" w:hAnsi="Times New Roman" w:cs="Times New Roman"/>
          <w:shd w:val="clear" w:color="auto" w:fill="FFFFFF"/>
        </w:rPr>
        <w:t>Gruskin</w:t>
      </w:r>
      <w:proofErr w:type="spellEnd"/>
      <w:r w:rsidRPr="00DB48F3">
        <w:rPr>
          <w:rFonts w:ascii="Times New Roman" w:hAnsi="Times New Roman" w:cs="Times New Roman"/>
          <w:shd w:val="clear" w:color="auto" w:fill="FFFFFF"/>
        </w:rPr>
        <w:t>, S. (2003). Defining equity in health</w:t>
      </w:r>
      <w:r w:rsidRPr="00DB48F3">
        <w:rPr>
          <w:rStyle w:val="Emphasis"/>
          <w:rFonts w:ascii="Times New Roman" w:hAnsi="Times New Roman" w:cs="Times New Roman"/>
          <w:shd w:val="clear" w:color="auto" w:fill="FFFFFF"/>
        </w:rPr>
        <w:t>. Journal of Epidemiology and Community Health, 57</w:t>
      </w:r>
      <w:r w:rsidRPr="00DB48F3">
        <w:rPr>
          <w:rFonts w:ascii="Times New Roman" w:hAnsi="Times New Roman" w:cs="Times New Roman"/>
          <w:shd w:val="clear" w:color="auto" w:fill="FFFFFF"/>
        </w:rPr>
        <w:t>, 254-258. Available</w:t>
      </w:r>
      <w:r w:rsidRPr="00DB48F3">
        <w:rPr>
          <w:rFonts w:ascii="Times New Roman" w:hAnsi="Times New Roman" w:cs="Times New Roman"/>
          <w:shd w:val="clear" w:color="auto" w:fill="FFFFFF"/>
        </w:rPr>
        <w:t xml:space="preserve"> </w:t>
      </w:r>
      <w:r w:rsidRPr="00DB48F3">
        <w:rPr>
          <w:rFonts w:ascii="Times New Roman" w:hAnsi="Times New Roman" w:cs="Times New Roman"/>
          <w:shd w:val="clear" w:color="auto" w:fill="FFFFFF"/>
        </w:rPr>
        <w:t>at: </w:t>
      </w:r>
      <w:hyperlink r:id="rId6" w:tgtFrame="_blank" w:history="1">
        <w:r w:rsidRPr="00DB48F3">
          <w:rPr>
            <w:rStyle w:val="Hyperlink"/>
            <w:rFonts w:ascii="Times New Roman" w:hAnsi="Times New Roman" w:cs="Times New Roman"/>
            <w:color w:val="auto"/>
            <w:shd w:val="clear" w:color="auto" w:fill="FFFFFF"/>
          </w:rPr>
          <w:t>http://www.ncbi.nlm.nih.gov/pmc/articles/PMC1732430/</w:t>
        </w:r>
      </w:hyperlink>
    </w:p>
    <w:p w14:paraId="5BE8701B" w14:textId="694D167A" w:rsidR="009C3C5A" w:rsidRPr="00DB48F3" w:rsidRDefault="009C3C5A" w:rsidP="00D67192">
      <w:pPr>
        <w:ind w:left="720" w:hanging="720"/>
        <w:rPr>
          <w:rFonts w:ascii="Times New Roman" w:hAnsi="Times New Roman" w:cs="Times New Roman"/>
        </w:rPr>
      </w:pPr>
      <w:r w:rsidRPr="00DB48F3">
        <w:rPr>
          <w:rFonts w:ascii="Times New Roman" w:hAnsi="Times New Roman" w:cs="Times New Roman"/>
        </w:rPr>
        <w:t xml:space="preserve">Sue, D. W. (2010, </w:t>
      </w:r>
      <w:r w:rsidR="00D67192" w:rsidRPr="00DB48F3">
        <w:rPr>
          <w:rFonts w:ascii="Times New Roman" w:hAnsi="Times New Roman" w:cs="Times New Roman"/>
        </w:rPr>
        <w:t>October 5</w:t>
      </w:r>
      <w:r w:rsidRPr="00DB48F3">
        <w:rPr>
          <w:rFonts w:ascii="Times New Roman" w:hAnsi="Times New Roman" w:cs="Times New Roman"/>
        </w:rPr>
        <w:t>).</w:t>
      </w:r>
      <w:r w:rsidR="00D67192" w:rsidRPr="00DB48F3">
        <w:rPr>
          <w:rFonts w:ascii="Times New Roman" w:hAnsi="Times New Roman" w:cs="Times New Roman"/>
        </w:rPr>
        <w:t xml:space="preserve"> </w:t>
      </w:r>
      <w:r w:rsidR="00D67192" w:rsidRPr="00DB48F3">
        <w:rPr>
          <w:rFonts w:ascii="Times New Roman" w:hAnsi="Times New Roman" w:cs="Times New Roman"/>
          <w:i/>
          <w:iCs/>
        </w:rPr>
        <w:t xml:space="preserve">Racial microaggressions in everyday life. </w:t>
      </w:r>
      <w:r w:rsidR="00D67192" w:rsidRPr="00DB48F3">
        <w:rPr>
          <w:rFonts w:ascii="Times New Roman" w:hAnsi="Times New Roman" w:cs="Times New Roman"/>
        </w:rPr>
        <w:t xml:space="preserve">Psychology Today. </w:t>
      </w:r>
      <w:hyperlink r:id="rId7" w:history="1">
        <w:r w:rsidR="00D67192" w:rsidRPr="00DB48F3">
          <w:rPr>
            <w:rStyle w:val="Hyperlink"/>
            <w:rFonts w:ascii="Times New Roman" w:hAnsi="Times New Roman" w:cs="Times New Roman"/>
            <w:color w:val="auto"/>
          </w:rPr>
          <w:t>https://www.psychologytoday.com/us/blog/microaggressions-in-everyday-life/201010/racial-microaggressions-in-everyday-life</w:t>
        </w:r>
      </w:hyperlink>
      <w:r w:rsidR="00D67192" w:rsidRPr="00DB48F3">
        <w:rPr>
          <w:rFonts w:ascii="Times New Roman" w:hAnsi="Times New Roman" w:cs="Times New Roman"/>
        </w:rPr>
        <w:t>.</w:t>
      </w:r>
    </w:p>
    <w:p w14:paraId="33C7F296" w14:textId="0E42F201" w:rsidR="00207CEC" w:rsidRPr="00DB48F3" w:rsidRDefault="00207CEC" w:rsidP="00207CEC">
      <w:pPr>
        <w:ind w:left="720" w:hanging="720"/>
        <w:rPr>
          <w:rFonts w:ascii="Times New Roman" w:hAnsi="Times New Roman" w:cs="Times New Roman"/>
        </w:rPr>
      </w:pPr>
      <w:proofErr w:type="spellStart"/>
      <w:r w:rsidRPr="00DB48F3">
        <w:rPr>
          <w:rFonts w:ascii="Times New Roman" w:hAnsi="Times New Roman" w:cs="Times New Roman"/>
          <w:shd w:val="clear" w:color="auto" w:fill="FFFFFF"/>
        </w:rPr>
        <w:t>Tervalon</w:t>
      </w:r>
      <w:proofErr w:type="spellEnd"/>
      <w:r w:rsidRPr="00DB48F3">
        <w:rPr>
          <w:rFonts w:ascii="Times New Roman" w:hAnsi="Times New Roman" w:cs="Times New Roman"/>
          <w:shd w:val="clear" w:color="auto" w:fill="FFFFFF"/>
        </w:rPr>
        <w:t>, M., &amp; Murray-Garcia, J. (1998). Cultural humility versus cultural competence: A critical distinction in defining physician training outcomes in multicultural education. Journal of Health Care for the Poor and Underserved, 9(2), 117-125. Available at: </w:t>
      </w:r>
      <w:hyperlink r:id="rId8" w:tgtFrame="_blank" w:history="1">
        <w:r w:rsidRPr="00DB48F3">
          <w:rPr>
            <w:rStyle w:val="Hyperlink"/>
            <w:rFonts w:ascii="Times New Roman" w:hAnsi="Times New Roman" w:cs="Times New Roman"/>
            <w:color w:val="auto"/>
            <w:shd w:val="clear" w:color="auto" w:fill="FFFFFF"/>
          </w:rPr>
          <w:t>http://melanietervalon.com/wp-content/uploads/2013/08/CulturalHumility_Tervalon-and-Murray-Garcia-Article.pdf</w:t>
        </w:r>
      </w:hyperlink>
    </w:p>
    <w:p w14:paraId="394ABB86" w14:textId="77777777" w:rsidR="00207CEC" w:rsidRPr="00DB48F3" w:rsidRDefault="00207CEC" w:rsidP="00207CEC">
      <w:pPr>
        <w:ind w:left="720" w:hanging="720"/>
        <w:rPr>
          <w:rFonts w:ascii="Times New Roman" w:hAnsi="Times New Roman" w:cs="Times New Roman"/>
        </w:rPr>
      </w:pPr>
    </w:p>
    <w:p w14:paraId="03F176D3" w14:textId="77777777" w:rsidR="00D67192" w:rsidRPr="00DB48F3" w:rsidRDefault="00D67192" w:rsidP="009C3C5A">
      <w:pPr>
        <w:rPr>
          <w:rFonts w:ascii="Times New Roman" w:hAnsi="Times New Roman" w:cs="Times New Roman"/>
        </w:rPr>
      </w:pPr>
    </w:p>
    <w:sectPr w:rsidR="00D67192" w:rsidRPr="00DB48F3">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8F54C" w14:textId="77777777" w:rsidR="0038358E" w:rsidRDefault="0038358E" w:rsidP="00617FB1">
      <w:pPr>
        <w:spacing w:after="0" w:line="240" w:lineRule="auto"/>
      </w:pPr>
      <w:r>
        <w:separator/>
      </w:r>
    </w:p>
  </w:endnote>
  <w:endnote w:type="continuationSeparator" w:id="0">
    <w:p w14:paraId="4037C319" w14:textId="77777777" w:rsidR="0038358E" w:rsidRDefault="0038358E" w:rsidP="00617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5B66F" w14:textId="77777777" w:rsidR="0038358E" w:rsidRDefault="0038358E" w:rsidP="00617FB1">
      <w:pPr>
        <w:spacing w:after="0" w:line="240" w:lineRule="auto"/>
      </w:pPr>
      <w:r>
        <w:separator/>
      </w:r>
    </w:p>
  </w:footnote>
  <w:footnote w:type="continuationSeparator" w:id="0">
    <w:p w14:paraId="46E9B4C0" w14:textId="77777777" w:rsidR="0038358E" w:rsidRDefault="0038358E" w:rsidP="00617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917991"/>
      <w:docPartObj>
        <w:docPartGallery w:val="Page Numbers (Top of Page)"/>
        <w:docPartUnique/>
      </w:docPartObj>
    </w:sdtPr>
    <w:sdtContent>
      <w:p w14:paraId="7926CF9E" w14:textId="1F81B05A" w:rsidR="00617FB1" w:rsidRDefault="00617FB1" w:rsidP="00090D9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DE05D" w14:textId="77777777" w:rsidR="00617FB1" w:rsidRDefault="00617FB1" w:rsidP="00617F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0770877"/>
      <w:docPartObj>
        <w:docPartGallery w:val="Page Numbers (Top of Page)"/>
        <w:docPartUnique/>
      </w:docPartObj>
    </w:sdtPr>
    <w:sdtContent>
      <w:p w14:paraId="302ACECD" w14:textId="2EE91CA4" w:rsidR="00617FB1" w:rsidRDefault="00617FB1" w:rsidP="00090D9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A9F41A" w14:textId="77777777" w:rsidR="00617FB1" w:rsidRDefault="00617FB1" w:rsidP="00617FB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B1"/>
    <w:rsid w:val="0002382B"/>
    <w:rsid w:val="000D3509"/>
    <w:rsid w:val="000D51B2"/>
    <w:rsid w:val="001064F0"/>
    <w:rsid w:val="00207CEC"/>
    <w:rsid w:val="0038358E"/>
    <w:rsid w:val="00603676"/>
    <w:rsid w:val="00617FB1"/>
    <w:rsid w:val="006538A0"/>
    <w:rsid w:val="007009FC"/>
    <w:rsid w:val="007A6219"/>
    <w:rsid w:val="009213EF"/>
    <w:rsid w:val="00946302"/>
    <w:rsid w:val="0095312D"/>
    <w:rsid w:val="009C0B6B"/>
    <w:rsid w:val="009C3C5A"/>
    <w:rsid w:val="00A0022C"/>
    <w:rsid w:val="00BF7356"/>
    <w:rsid w:val="00CF069D"/>
    <w:rsid w:val="00D67192"/>
    <w:rsid w:val="00DB48F3"/>
    <w:rsid w:val="00E10224"/>
    <w:rsid w:val="00EF0374"/>
    <w:rsid w:val="00F2301B"/>
    <w:rsid w:val="00F5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7546"/>
  <w15:chartTrackingRefBased/>
  <w15:docId w15:val="{D091E567-E53A-084E-842C-6D040D5E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FB1"/>
  </w:style>
  <w:style w:type="paragraph" w:styleId="Footer">
    <w:name w:val="footer"/>
    <w:basedOn w:val="Normal"/>
    <w:link w:val="FooterChar"/>
    <w:uiPriority w:val="99"/>
    <w:unhideWhenUsed/>
    <w:rsid w:val="00617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FB1"/>
  </w:style>
  <w:style w:type="character" w:styleId="PageNumber">
    <w:name w:val="page number"/>
    <w:basedOn w:val="DefaultParagraphFont"/>
    <w:uiPriority w:val="99"/>
    <w:semiHidden/>
    <w:unhideWhenUsed/>
    <w:rsid w:val="00617FB1"/>
  </w:style>
  <w:style w:type="character" w:styleId="Hyperlink">
    <w:name w:val="Hyperlink"/>
    <w:basedOn w:val="DefaultParagraphFont"/>
    <w:uiPriority w:val="99"/>
    <w:unhideWhenUsed/>
    <w:rsid w:val="00D67192"/>
    <w:rPr>
      <w:color w:val="0563C1" w:themeColor="hyperlink"/>
      <w:u w:val="single"/>
    </w:rPr>
  </w:style>
  <w:style w:type="character" w:styleId="UnresolvedMention">
    <w:name w:val="Unresolved Mention"/>
    <w:basedOn w:val="DefaultParagraphFont"/>
    <w:uiPriority w:val="99"/>
    <w:semiHidden/>
    <w:unhideWhenUsed/>
    <w:rsid w:val="00D67192"/>
    <w:rPr>
      <w:color w:val="605E5C"/>
      <w:shd w:val="clear" w:color="auto" w:fill="E1DFDD"/>
    </w:rPr>
  </w:style>
  <w:style w:type="character" w:styleId="Emphasis">
    <w:name w:val="Emphasis"/>
    <w:basedOn w:val="DefaultParagraphFont"/>
    <w:uiPriority w:val="20"/>
    <w:qFormat/>
    <w:rsid w:val="00F51976"/>
    <w:rPr>
      <w:i/>
      <w:iCs/>
    </w:rPr>
  </w:style>
  <w:style w:type="character" w:styleId="FollowedHyperlink">
    <w:name w:val="FollowedHyperlink"/>
    <w:basedOn w:val="DefaultParagraphFont"/>
    <w:uiPriority w:val="99"/>
    <w:semiHidden/>
    <w:unhideWhenUsed/>
    <w:rsid w:val="00F519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17484">
      <w:bodyDiv w:val="1"/>
      <w:marLeft w:val="0"/>
      <w:marRight w:val="0"/>
      <w:marTop w:val="0"/>
      <w:marBottom w:val="0"/>
      <w:divBdr>
        <w:top w:val="none" w:sz="0" w:space="0" w:color="auto"/>
        <w:left w:val="none" w:sz="0" w:space="0" w:color="auto"/>
        <w:bottom w:val="none" w:sz="0" w:space="0" w:color="auto"/>
        <w:right w:val="none" w:sz="0" w:space="0" w:color="auto"/>
      </w:divBdr>
    </w:div>
    <w:div w:id="467745943">
      <w:bodyDiv w:val="1"/>
      <w:marLeft w:val="0"/>
      <w:marRight w:val="0"/>
      <w:marTop w:val="0"/>
      <w:marBottom w:val="0"/>
      <w:divBdr>
        <w:top w:val="none" w:sz="0" w:space="0" w:color="auto"/>
        <w:left w:val="none" w:sz="0" w:space="0" w:color="auto"/>
        <w:bottom w:val="none" w:sz="0" w:space="0" w:color="auto"/>
        <w:right w:val="none" w:sz="0" w:space="0" w:color="auto"/>
      </w:divBdr>
    </w:div>
    <w:div w:id="525144280">
      <w:bodyDiv w:val="1"/>
      <w:marLeft w:val="0"/>
      <w:marRight w:val="0"/>
      <w:marTop w:val="0"/>
      <w:marBottom w:val="0"/>
      <w:divBdr>
        <w:top w:val="none" w:sz="0" w:space="0" w:color="auto"/>
        <w:left w:val="none" w:sz="0" w:space="0" w:color="auto"/>
        <w:bottom w:val="none" w:sz="0" w:space="0" w:color="auto"/>
        <w:right w:val="none" w:sz="0" w:space="0" w:color="auto"/>
      </w:divBdr>
    </w:div>
    <w:div w:id="73062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lanietervalon.com/wp-content/uploads/2013/08/CulturalHumility_Tervalon-and-Murray-Garcia-Article.pdf" TargetMode="External"/><Relationship Id="rId3" Type="http://schemas.openxmlformats.org/officeDocument/2006/relationships/webSettings" Target="webSettings.xml"/><Relationship Id="rId7" Type="http://schemas.openxmlformats.org/officeDocument/2006/relationships/hyperlink" Target="https://www.psychologytoday.com/us/blog/microaggressions-in-everyday-life/201010/racial-microaggressions-in-everyday-lif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bi.nlm.nih.gov/pmc/articles/PMC173243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bri.grocholski@gmail.com</dc:creator>
  <cp:keywords/>
  <dc:description/>
  <cp:lastModifiedBy>bri.grocholski@gmail.com</cp:lastModifiedBy>
  <cp:revision>10</cp:revision>
  <dcterms:created xsi:type="dcterms:W3CDTF">2022-06-27T22:28:00Z</dcterms:created>
  <dcterms:modified xsi:type="dcterms:W3CDTF">2022-06-29T03:48:00Z</dcterms:modified>
</cp:coreProperties>
</file>